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F04" w:rsidRPr="00880E01" w:rsidRDefault="007C6EE5">
      <w:pPr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  <w:r w:rsidRPr="00880E01">
        <w:rPr>
          <w:rFonts w:ascii="Times New Roman" w:hAnsi="Times New Roman" w:cs="Times New Roman"/>
          <w:sz w:val="24"/>
          <w:szCs w:val="24"/>
          <w:u w:val="single"/>
        </w:rPr>
        <w:t xml:space="preserve">Экзаменационные вопросы по </w:t>
      </w:r>
      <w:r w:rsidR="00672B62">
        <w:rPr>
          <w:rFonts w:ascii="Times New Roman" w:hAnsi="Times New Roman" w:cs="Times New Roman"/>
          <w:sz w:val="24"/>
          <w:szCs w:val="24"/>
          <w:u w:val="single"/>
        </w:rPr>
        <w:t xml:space="preserve">дисциплине «Печатные СМИ как инструмент </w:t>
      </w:r>
      <w:r w:rsidR="00672B62">
        <w:rPr>
          <w:rFonts w:ascii="Times New Roman" w:hAnsi="Times New Roman" w:cs="Times New Roman"/>
          <w:sz w:val="24"/>
          <w:szCs w:val="24"/>
          <w:u w:val="single"/>
          <w:lang w:val="en-US"/>
        </w:rPr>
        <w:t>PR</w:t>
      </w:r>
      <w:r w:rsidR="00672B62">
        <w:rPr>
          <w:rFonts w:ascii="Times New Roman" w:hAnsi="Times New Roman" w:cs="Times New Roman"/>
          <w:sz w:val="24"/>
          <w:szCs w:val="24"/>
          <w:u w:val="single"/>
        </w:rPr>
        <w:t>-коммункаций</w:t>
      </w:r>
      <w:r w:rsidR="00C51EDD" w:rsidRPr="00880E01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Типология PR-текстов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Эффективность PR-текстов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Оценка эффективности при взаимодействии со СМИ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Технология подсчета коэффициента понятливости текста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 xml:space="preserve">Формирование информационного повода и эволюция понятия 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Технология определения значимой новости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Виды аудитории в контексте подбора информационного повода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Информационный повод как средство продвижения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Доброжелательный дизайн в сети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Корпоративный сайт как средство продвижения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Основные элементы корпоративного сайта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 xml:space="preserve">Визуальные формы презентации компании в интернете  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Имидж компании и образ компании в прессе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672B62">
        <w:rPr>
          <w:rFonts w:ascii="Times New Roman" w:hAnsi="Times New Roman" w:cs="Times New Roman"/>
          <w:sz w:val="24"/>
          <w:szCs w:val="24"/>
        </w:rPr>
        <w:t>Перфоманс</w:t>
      </w:r>
      <w:proofErr w:type="spellEnd"/>
      <w:r w:rsidRPr="00672B62">
        <w:rPr>
          <w:rFonts w:ascii="Times New Roman" w:hAnsi="Times New Roman" w:cs="Times New Roman"/>
          <w:sz w:val="24"/>
          <w:szCs w:val="24"/>
        </w:rPr>
        <w:t xml:space="preserve"> – как способ творческого представления компании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Паблисити. Новые подходы к старым традициям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Место спонсора в продвижении послания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Обоснования в выборе спонсора для проекта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Технология разработки и оценки спонсорских проектов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Особенности работы маркетинга в малом бизнесе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Свойства компаний B2B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 xml:space="preserve">Характеристика работы с товарами Luxury 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Сравнительный анализ маркетинговых технологий в разных сферах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 xml:space="preserve">Технология поисковой системы </w:t>
      </w:r>
      <w:proofErr w:type="spellStart"/>
      <w:r w:rsidRPr="00672B62">
        <w:rPr>
          <w:rFonts w:ascii="Times New Roman" w:hAnsi="Times New Roman" w:cs="Times New Roman"/>
          <w:sz w:val="24"/>
          <w:szCs w:val="24"/>
        </w:rPr>
        <w:t>Google</w:t>
      </w:r>
      <w:proofErr w:type="spellEnd"/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Технология определения релевантности информации в поисковике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Возможности работы в поисковой системе для продвижения компании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Визуальный контент на разных уровнях медиа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Актуальные для региона виды визуальных способов рекламы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 xml:space="preserve">Влияние </w:t>
      </w:r>
      <w:proofErr w:type="spellStart"/>
      <w:r w:rsidRPr="00672B62">
        <w:rPr>
          <w:rFonts w:ascii="Times New Roman" w:hAnsi="Times New Roman" w:cs="Times New Roman"/>
          <w:sz w:val="24"/>
          <w:szCs w:val="24"/>
        </w:rPr>
        <w:t>билбордов</w:t>
      </w:r>
      <w:proofErr w:type="spellEnd"/>
      <w:r w:rsidRPr="00672B62">
        <w:rPr>
          <w:rFonts w:ascii="Times New Roman" w:hAnsi="Times New Roman" w:cs="Times New Roman"/>
          <w:sz w:val="24"/>
          <w:szCs w:val="24"/>
        </w:rPr>
        <w:t xml:space="preserve"> и баннеров на восприятие образа компании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Нестандартные способы визуализации послания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Критерии инвестиционной привлекательности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 xml:space="preserve">Технологии PR 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Примеры проигрышных технологий для внесения инвестиций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Особенности работы PR-менеджера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Работы пресс-секретаря</w:t>
      </w:r>
    </w:p>
    <w:p w:rsid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Место работы с внешней аудиторией в работе PR-менеджера и пресс-секретаря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Федеральные, региональные и международные СМИ, информационные агентства и Интернет-издания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Организация работы пресс-службы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Технология создания информационного материала для прессы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Интернет среда в бизнес коммуникации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Построение стратеги присутствия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Проектный менеджмента в PR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672B62">
        <w:rPr>
          <w:rFonts w:ascii="Times New Roman" w:hAnsi="Times New Roman" w:cs="Times New Roman"/>
          <w:sz w:val="24"/>
          <w:szCs w:val="24"/>
        </w:rPr>
        <w:t>Брендинг</w:t>
      </w:r>
      <w:proofErr w:type="spellEnd"/>
      <w:r w:rsidRPr="00672B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2B62">
        <w:rPr>
          <w:rFonts w:ascii="Times New Roman" w:hAnsi="Times New Roman" w:cs="Times New Roman"/>
          <w:sz w:val="24"/>
          <w:szCs w:val="24"/>
        </w:rPr>
        <w:t>брендинговые</w:t>
      </w:r>
      <w:proofErr w:type="spellEnd"/>
      <w:r w:rsidRPr="00672B62">
        <w:rPr>
          <w:rFonts w:ascii="Times New Roman" w:hAnsi="Times New Roman" w:cs="Times New Roman"/>
          <w:sz w:val="24"/>
          <w:szCs w:val="24"/>
        </w:rPr>
        <w:t xml:space="preserve"> технологии, реклама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672B62">
        <w:rPr>
          <w:rFonts w:ascii="Times New Roman" w:hAnsi="Times New Roman" w:cs="Times New Roman"/>
          <w:sz w:val="24"/>
          <w:szCs w:val="24"/>
        </w:rPr>
        <w:lastRenderedPageBreak/>
        <w:t>Директ-маркетнг</w:t>
      </w:r>
      <w:proofErr w:type="spellEnd"/>
      <w:r w:rsidRPr="00672B62">
        <w:rPr>
          <w:rFonts w:ascii="Times New Roman" w:hAnsi="Times New Roman" w:cs="Times New Roman"/>
          <w:sz w:val="24"/>
          <w:szCs w:val="24"/>
        </w:rPr>
        <w:t>. Спонсорство.</w:t>
      </w:r>
    </w:p>
    <w:p w:rsid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672B62">
        <w:rPr>
          <w:rFonts w:ascii="Times New Roman" w:hAnsi="Times New Roman" w:cs="Times New Roman"/>
          <w:sz w:val="24"/>
          <w:szCs w:val="24"/>
        </w:rPr>
        <w:t>Брендбук</w:t>
      </w:r>
      <w:proofErr w:type="spellEnd"/>
      <w:r w:rsidRPr="00672B62">
        <w:rPr>
          <w:rFonts w:ascii="Times New Roman" w:hAnsi="Times New Roman" w:cs="Times New Roman"/>
          <w:sz w:val="24"/>
          <w:szCs w:val="24"/>
        </w:rPr>
        <w:t xml:space="preserve"> – содержание, структура, технология разработки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Рекламные и PR- стратегии в Интернет-СМИ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Рекламные кампании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Отечественный и зарубежный опыт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Обзор поисковых систем и особенности работы с ними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Участие в международных организациях, саммитах, всемирных выставках, конкурсах</w:t>
      </w:r>
    </w:p>
    <w:p w:rsidR="00672B62" w:rsidRPr="00672B62" w:rsidRDefault="00672B62" w:rsidP="00672B6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sz w:val="24"/>
          <w:szCs w:val="24"/>
        </w:rPr>
        <w:t>Эволюция взаимоотношений со СМИ</w:t>
      </w:r>
    </w:p>
    <w:p w:rsidR="00672B62" w:rsidRPr="00672B62" w:rsidRDefault="00672B62" w:rsidP="00672B62">
      <w:pPr>
        <w:ind w:left="360" w:firstLine="0"/>
        <w:rPr>
          <w:rFonts w:ascii="Times New Roman" w:hAnsi="Times New Roman" w:cs="Times New Roman"/>
          <w:sz w:val="24"/>
          <w:szCs w:val="24"/>
        </w:rPr>
      </w:pPr>
      <w:r w:rsidRPr="00672B62">
        <w:rPr>
          <w:rFonts w:ascii="Times New Roman" w:hAnsi="Times New Roman" w:cs="Times New Roman"/>
          <w:b/>
          <w:sz w:val="24"/>
          <w:szCs w:val="24"/>
        </w:rPr>
        <w:t>Практическое задание:</w:t>
      </w:r>
      <w:r>
        <w:rPr>
          <w:rFonts w:ascii="Times New Roman" w:hAnsi="Times New Roman" w:cs="Times New Roman"/>
          <w:sz w:val="24"/>
          <w:szCs w:val="24"/>
        </w:rPr>
        <w:t xml:space="preserve"> научная статья, опубликованная в сборнике или журнале</w:t>
      </w:r>
    </w:p>
    <w:sectPr w:rsidR="00672B62" w:rsidRPr="00672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7251"/>
    <w:multiLevelType w:val="hybridMultilevel"/>
    <w:tmpl w:val="77C2C342"/>
    <w:lvl w:ilvl="0" w:tplc="28C2EF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D55A97"/>
    <w:multiLevelType w:val="hybridMultilevel"/>
    <w:tmpl w:val="D848F256"/>
    <w:lvl w:ilvl="0" w:tplc="E9FC0C3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C8D3590"/>
    <w:multiLevelType w:val="hybridMultilevel"/>
    <w:tmpl w:val="C3065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21F7D"/>
    <w:multiLevelType w:val="hybridMultilevel"/>
    <w:tmpl w:val="303EFF2C"/>
    <w:lvl w:ilvl="0" w:tplc="5AB2B8D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 w15:restartNumberingAfterBreak="0">
    <w:nsid w:val="15785591"/>
    <w:multiLevelType w:val="hybridMultilevel"/>
    <w:tmpl w:val="67709E4E"/>
    <w:lvl w:ilvl="0" w:tplc="5972E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5E0011"/>
    <w:multiLevelType w:val="hybridMultilevel"/>
    <w:tmpl w:val="56AEB510"/>
    <w:lvl w:ilvl="0" w:tplc="617E815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4475E64"/>
    <w:multiLevelType w:val="hybridMultilevel"/>
    <w:tmpl w:val="44307892"/>
    <w:lvl w:ilvl="0" w:tplc="7E5AC3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48B1F84"/>
    <w:multiLevelType w:val="hybridMultilevel"/>
    <w:tmpl w:val="6E0C56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8E65A8"/>
    <w:multiLevelType w:val="hybridMultilevel"/>
    <w:tmpl w:val="71845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440B4"/>
    <w:multiLevelType w:val="hybridMultilevel"/>
    <w:tmpl w:val="44ACF33A"/>
    <w:lvl w:ilvl="0" w:tplc="DAD225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8BA2C00"/>
    <w:multiLevelType w:val="hybridMultilevel"/>
    <w:tmpl w:val="F0DA9798"/>
    <w:lvl w:ilvl="0" w:tplc="D2A0BD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9A84AF6"/>
    <w:multiLevelType w:val="hybridMultilevel"/>
    <w:tmpl w:val="A176D93E"/>
    <w:lvl w:ilvl="0" w:tplc="79A2B4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0C4710"/>
    <w:multiLevelType w:val="hybridMultilevel"/>
    <w:tmpl w:val="E8C20C92"/>
    <w:lvl w:ilvl="0" w:tplc="88349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58E4E50"/>
    <w:multiLevelType w:val="hybridMultilevel"/>
    <w:tmpl w:val="4EF8189A"/>
    <w:lvl w:ilvl="0" w:tplc="617E815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6AE6DE5"/>
    <w:multiLevelType w:val="hybridMultilevel"/>
    <w:tmpl w:val="21CA9B96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A285B49"/>
    <w:multiLevelType w:val="hybridMultilevel"/>
    <w:tmpl w:val="1DEE9958"/>
    <w:lvl w:ilvl="0" w:tplc="B51EF0A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2502723"/>
    <w:multiLevelType w:val="hybridMultilevel"/>
    <w:tmpl w:val="9ED491DC"/>
    <w:lvl w:ilvl="0" w:tplc="2334E7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C04052"/>
    <w:multiLevelType w:val="hybridMultilevel"/>
    <w:tmpl w:val="C4044BAE"/>
    <w:lvl w:ilvl="0" w:tplc="292AB59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58B84F12"/>
    <w:multiLevelType w:val="hybridMultilevel"/>
    <w:tmpl w:val="82D6E306"/>
    <w:lvl w:ilvl="0" w:tplc="1870D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134EF3"/>
    <w:multiLevelType w:val="hybridMultilevel"/>
    <w:tmpl w:val="5024F34A"/>
    <w:lvl w:ilvl="0" w:tplc="F280C7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4154A01"/>
    <w:multiLevelType w:val="hybridMultilevel"/>
    <w:tmpl w:val="C8AA95A4"/>
    <w:lvl w:ilvl="0" w:tplc="EBCEC136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1" w15:restartNumberingAfterBreak="0">
    <w:nsid w:val="6D8A0A93"/>
    <w:multiLevelType w:val="hybridMultilevel"/>
    <w:tmpl w:val="5C02336A"/>
    <w:lvl w:ilvl="0" w:tplc="938E4B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7AD749A"/>
    <w:multiLevelType w:val="hybridMultilevel"/>
    <w:tmpl w:val="104459E8"/>
    <w:lvl w:ilvl="0" w:tplc="EFB6CAFE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16"/>
  </w:num>
  <w:num w:numId="2">
    <w:abstractNumId w:val="21"/>
  </w:num>
  <w:num w:numId="3">
    <w:abstractNumId w:val="3"/>
  </w:num>
  <w:num w:numId="4">
    <w:abstractNumId w:val="19"/>
  </w:num>
  <w:num w:numId="5">
    <w:abstractNumId w:val="15"/>
  </w:num>
  <w:num w:numId="6">
    <w:abstractNumId w:val="20"/>
  </w:num>
  <w:num w:numId="7">
    <w:abstractNumId w:val="9"/>
  </w:num>
  <w:num w:numId="8">
    <w:abstractNumId w:val="1"/>
  </w:num>
  <w:num w:numId="9">
    <w:abstractNumId w:val="10"/>
  </w:num>
  <w:num w:numId="10">
    <w:abstractNumId w:val="22"/>
  </w:num>
  <w:num w:numId="11">
    <w:abstractNumId w:val="7"/>
  </w:num>
  <w:num w:numId="12">
    <w:abstractNumId w:val="6"/>
  </w:num>
  <w:num w:numId="13">
    <w:abstractNumId w:val="2"/>
  </w:num>
  <w:num w:numId="14">
    <w:abstractNumId w:val="0"/>
  </w:num>
  <w:num w:numId="15">
    <w:abstractNumId w:val="4"/>
  </w:num>
  <w:num w:numId="16">
    <w:abstractNumId w:val="13"/>
  </w:num>
  <w:num w:numId="17">
    <w:abstractNumId w:val="17"/>
  </w:num>
  <w:num w:numId="18">
    <w:abstractNumId w:val="14"/>
  </w:num>
  <w:num w:numId="19">
    <w:abstractNumId w:val="5"/>
  </w:num>
  <w:num w:numId="20">
    <w:abstractNumId w:val="12"/>
  </w:num>
  <w:num w:numId="21">
    <w:abstractNumId w:val="11"/>
  </w:num>
  <w:num w:numId="22">
    <w:abstractNumId w:val="18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EE5"/>
    <w:rsid w:val="00072A0D"/>
    <w:rsid w:val="001415A1"/>
    <w:rsid w:val="001F454A"/>
    <w:rsid w:val="001F7816"/>
    <w:rsid w:val="00310F04"/>
    <w:rsid w:val="003C237B"/>
    <w:rsid w:val="004031DB"/>
    <w:rsid w:val="00431BF3"/>
    <w:rsid w:val="004A101E"/>
    <w:rsid w:val="00605ADE"/>
    <w:rsid w:val="006366DA"/>
    <w:rsid w:val="00672B62"/>
    <w:rsid w:val="00790E5C"/>
    <w:rsid w:val="007C6EE5"/>
    <w:rsid w:val="00880E01"/>
    <w:rsid w:val="00B8367A"/>
    <w:rsid w:val="00C51EDD"/>
    <w:rsid w:val="00CB13EF"/>
    <w:rsid w:val="00D850DE"/>
    <w:rsid w:val="00DA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1B8937-461D-4C11-88EA-F3F141CA8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EE5"/>
    <w:pPr>
      <w:spacing w:after="200" w:line="276" w:lineRule="auto"/>
      <w:ind w:left="720" w:firstLine="0"/>
      <w:contextualSpacing/>
    </w:pPr>
  </w:style>
  <w:style w:type="paragraph" w:styleId="a4">
    <w:name w:val="Body Text Indent"/>
    <w:basedOn w:val="a"/>
    <w:link w:val="a5"/>
    <w:rsid w:val="007C6EE5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C6E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12</cp:revision>
  <dcterms:created xsi:type="dcterms:W3CDTF">2017-11-22T09:37:00Z</dcterms:created>
  <dcterms:modified xsi:type="dcterms:W3CDTF">2019-11-13T12:59:00Z</dcterms:modified>
</cp:coreProperties>
</file>